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iagrams/colors1.xml" ContentType="application/vnd.openxmlformats-officedocument.drawingml.diagramColors+xml"/>
  <Override PartName="/word/diagrams/data1.xml" ContentType="application/vnd.openxmlformats-officedocument.drawingml.diagramData+xml"/>
  <Override PartName="/word/diagrams/drawing1.xml" ContentType="application/vnd.ms-office.drawingml.diagramDrawing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C251D2">
      <w:pPr>
        <w:jc w:val="center"/>
        <w:rPr>
          <w:rFonts w:hint="default" w:ascii="Times New Roman" w:hAnsi="Times New Roman" w:cs="Times New Roman"/>
          <w:b/>
          <w:bCs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</w:rPr>
        <w:t>Методическая разработка учебного занятия</w:t>
      </w:r>
    </w:p>
    <w:p w14:paraId="7613376E">
      <w:pPr>
        <w:jc w:val="center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>«Формирование познавательных универсальных</w:t>
      </w:r>
      <w:r>
        <w:rPr>
          <w:rFonts w:hint="default"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hint="default" w:ascii="Times New Roman" w:hAnsi="Times New Roman" w:cs="Times New Roman"/>
          <w:sz w:val="28"/>
          <w:szCs w:val="28"/>
        </w:rPr>
        <w:t>учебных</w:t>
      </w:r>
      <w:r>
        <w:rPr>
          <w:rFonts w:hint="default"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 w:cs="Times New Roman"/>
          <w:sz w:val="28"/>
          <w:szCs w:val="28"/>
        </w:rPr>
        <w:t>действий в процессе обучения биологии»</w:t>
      </w:r>
    </w:p>
    <w:p w14:paraId="42E6AB8D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6D7D9F25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48F71F19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5E9F7365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41DD75DB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66C37792">
      <w:pPr>
        <w:jc w:val="both"/>
        <w:rPr>
          <w:rFonts w:hint="default" w:ascii="Times New Roman" w:hAnsi="Times New Roman" w:cs="Times New Roman"/>
          <w:sz w:val="28"/>
          <w:szCs w:val="28"/>
        </w:rPr>
      </w:pPr>
    </w:p>
    <w:p w14:paraId="79A1C72D">
      <w:pPr>
        <w:jc w:val="both"/>
        <w:rPr>
          <w:rFonts w:hint="default" w:ascii="Times New Roman" w:hAnsi="Times New Roman" w:cs="Times New Roman"/>
          <w:sz w:val="28"/>
          <w:szCs w:val="28"/>
        </w:rPr>
      </w:pPr>
    </w:p>
    <w:p w14:paraId="40642155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46F7A4F4">
      <w:pPr>
        <w:jc w:val="center"/>
        <w:rPr>
          <w:rFonts w:hint="default" w:ascii="Times New Roman" w:hAnsi="Times New Roman" w:cs="Times New Roman"/>
          <w:sz w:val="28"/>
          <w:szCs w:val="28"/>
        </w:rPr>
      </w:pPr>
    </w:p>
    <w:p w14:paraId="413EE0A3">
      <w:pPr>
        <w:wordWrap w:val="0"/>
        <w:jc w:val="right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 xml:space="preserve">Вартанова Вероника Сергеевна </w:t>
      </w:r>
    </w:p>
    <w:p w14:paraId="05A661B1">
      <w:pPr>
        <w:wordWrap w:val="0"/>
        <w:jc w:val="right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Учитель биологии</w:t>
      </w:r>
    </w:p>
    <w:p w14:paraId="101D5506">
      <w:pPr>
        <w:wordWrap w:val="0"/>
        <w:jc w:val="right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МАОУ гимназии №6 ГОЩ</w:t>
      </w:r>
    </w:p>
    <w:p w14:paraId="01579B40">
      <w:pPr>
        <w:wordWrap/>
        <w:jc w:val="right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530F01BA">
      <w:pPr>
        <w:wordWrap/>
        <w:jc w:val="both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3D0258D8">
      <w:pPr>
        <w:wordWrap/>
        <w:jc w:val="both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1786E689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11E9DB32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6FEE1708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4685CB76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13252BEF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000B7435">
      <w:pPr>
        <w:wordWrap/>
        <w:jc w:val="both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2ED6B528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Щелково</w:t>
      </w:r>
    </w:p>
    <w:p w14:paraId="0DD7CB04">
      <w:pPr>
        <w:wordWrap/>
        <w:jc w:val="center"/>
        <w:rPr>
          <w:rFonts w:hint="default" w:ascii="Times New Roman" w:hAnsi="Times New Roman" w:cs="Times New Roman"/>
          <w:sz w:val="28"/>
          <w:szCs w:val="28"/>
          <w:lang w:val="ru-RU"/>
        </w:rPr>
      </w:pPr>
      <w:r>
        <w:rPr>
          <w:rFonts w:hint="default" w:ascii="Times New Roman" w:hAnsi="Times New Roman" w:cs="Times New Roman"/>
          <w:sz w:val="28"/>
          <w:szCs w:val="28"/>
          <w:lang w:val="ru-RU"/>
        </w:rPr>
        <w:t>2025г</w:t>
      </w:r>
    </w:p>
    <w:p w14:paraId="040EB5B3">
      <w:pPr>
        <w:wordWrap/>
        <w:jc w:val="center"/>
        <w:rPr>
          <w:rFonts w:hint="default" w:ascii="Times New Roman" w:hAnsi="Times New Roman"/>
          <w:b/>
          <w:bCs/>
          <w:sz w:val="28"/>
          <w:szCs w:val="28"/>
          <w:lang w:val="ru-RU"/>
        </w:rPr>
        <w:sectPr>
          <w:pgSz w:w="11906" w:h="16838"/>
          <w:pgMar w:top="1440" w:right="1800" w:bottom="1440" w:left="1800" w:header="720" w:footer="720" w:gutter="0"/>
          <w:pgNumType w:fmt="decimal"/>
          <w:cols w:space="720" w:num="1"/>
          <w:docGrid w:linePitch="360" w:charSpace="0"/>
        </w:sectPr>
      </w:pPr>
    </w:p>
    <w:p w14:paraId="0273FC72">
      <w:pPr>
        <w:wordWrap/>
        <w:jc w:val="center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b/>
          <w:bCs/>
          <w:sz w:val="28"/>
          <w:szCs w:val="28"/>
          <w:lang w:val="ru-RU"/>
        </w:rPr>
        <w:t>Оглавление</w:t>
      </w:r>
    </w:p>
    <w:p w14:paraId="7E0ACC0A">
      <w:pPr>
        <w:wordWrap/>
        <w:jc w:val="left"/>
        <w:rPr>
          <w:rFonts w:hint="default" w:ascii="Times New Roman" w:hAnsi="Times New Roman"/>
          <w:sz w:val="28"/>
          <w:szCs w:val="28"/>
          <w:lang w:val="ru-RU"/>
        </w:rPr>
      </w:pPr>
    </w:p>
    <w:p w14:paraId="4BB90AC6">
      <w:pPr>
        <w:wordWrap/>
        <w:jc w:val="left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Аннотация ……………………......................................................……1</w:t>
      </w:r>
    </w:p>
    <w:p w14:paraId="2033DBA9">
      <w:pPr>
        <w:wordWrap/>
        <w:jc w:val="left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Пояснительная записка ………………….............……………………1</w:t>
      </w:r>
    </w:p>
    <w:p w14:paraId="4A7B0126">
      <w:pPr>
        <w:wordWrap/>
        <w:jc w:val="left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Основная часть …………………………..............……………………4</w:t>
      </w:r>
    </w:p>
    <w:p w14:paraId="203D5843">
      <w:pPr>
        <w:wordWrap/>
        <w:jc w:val="left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Заключение............................................................................................ 25</w:t>
      </w:r>
    </w:p>
    <w:p w14:paraId="58F14BF1">
      <w:pPr>
        <w:wordWrap/>
        <w:jc w:val="left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Информационные источники……………….......…………….………26</w:t>
      </w:r>
    </w:p>
    <w:p w14:paraId="1490B1ED">
      <w:pPr>
        <w:wordWrap/>
        <w:jc w:val="left"/>
        <w:rPr>
          <w:rFonts w:hint="default" w:ascii="Times New Roman" w:hAnsi="Times New Roman" w:cs="Times New Roman"/>
          <w:sz w:val="28"/>
          <w:szCs w:val="28"/>
          <w:lang w:val="ru-RU"/>
        </w:rPr>
      </w:pPr>
    </w:p>
    <w:p w14:paraId="65F7ED69">
      <w:pPr>
        <w:wordWrap/>
        <w:jc w:val="center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b/>
          <w:bCs/>
          <w:sz w:val="28"/>
          <w:szCs w:val="28"/>
          <w:lang w:val="ru-RU"/>
        </w:rPr>
        <w:t>Аннотация</w:t>
      </w:r>
    </w:p>
    <w:p w14:paraId="57090AEA">
      <w:pPr>
        <w:wordWrap/>
        <w:jc w:val="center"/>
        <w:rPr>
          <w:rFonts w:hint="default" w:ascii="Times New Roman" w:hAnsi="Times New Roman"/>
          <w:sz w:val="28"/>
          <w:szCs w:val="28"/>
          <w:lang w:val="ru-RU"/>
        </w:rPr>
      </w:pPr>
    </w:p>
    <w:p w14:paraId="0388BA22">
      <w:pPr>
        <w:wordWrap/>
        <w:spacing w:line="360" w:lineRule="auto"/>
        <w:jc w:val="both"/>
        <w:rPr>
          <w:rFonts w:hint="default" w:ascii="Times New Roman" w:hAnsi="Times New Roman"/>
          <w:sz w:val="28"/>
          <w:szCs w:val="28"/>
          <w:lang w:val="ru-RU"/>
        </w:rPr>
      </w:pPr>
      <w:r>
        <w:rPr>
          <w:rFonts w:hint="default" w:ascii="Times New Roman" w:hAnsi="Times New Roman"/>
          <w:sz w:val="28"/>
          <w:szCs w:val="28"/>
          <w:lang w:val="ru-RU"/>
        </w:rPr>
        <w:t>Данная методическая разработка содержит теоретический материал по теме и практический эксперимент, основанный на работе с учащимися в образовательном учреждении. Методический продукт может быть полезен педагогическим работникам всех типов образовательных организаций, студентам педагогических колледжей и вузов.</w:t>
      </w:r>
    </w:p>
    <w:p w14:paraId="313A9936">
      <w:pPr>
        <w:wordWrap/>
        <w:jc w:val="both"/>
        <w:rPr>
          <w:rFonts w:hint="default" w:ascii="Times New Roman" w:hAnsi="Times New Roman"/>
          <w:sz w:val="28"/>
          <w:szCs w:val="28"/>
          <w:lang w:val="ru-RU"/>
        </w:rPr>
      </w:pPr>
    </w:p>
    <w:p w14:paraId="39B409C2">
      <w:pPr>
        <w:wordWrap/>
        <w:jc w:val="center"/>
        <w:rPr>
          <w:rFonts w:hint="default" w:ascii="Times New Roman" w:hAnsi="Times New Roman"/>
          <w:b/>
          <w:bCs/>
          <w:sz w:val="28"/>
          <w:szCs w:val="28"/>
          <w:lang w:val="ru-RU"/>
        </w:rPr>
      </w:pPr>
      <w:r>
        <w:rPr>
          <w:rFonts w:hint="default" w:ascii="Times New Roman" w:hAnsi="Times New Roman"/>
          <w:b/>
          <w:bCs/>
          <w:sz w:val="28"/>
          <w:szCs w:val="28"/>
          <w:lang w:val="ru-RU"/>
        </w:rPr>
        <w:t>Пояснительная записка</w:t>
      </w:r>
    </w:p>
    <w:p w14:paraId="5A2E8E26">
      <w:pPr>
        <w:wordWrap/>
        <w:jc w:val="center"/>
        <w:rPr>
          <w:rFonts w:hint="default" w:ascii="Times New Roman" w:hAnsi="Times New Roman"/>
          <w:sz w:val="28"/>
          <w:szCs w:val="28"/>
          <w:lang w:val="ru-RU"/>
        </w:rPr>
      </w:pPr>
    </w:p>
    <w:p w14:paraId="3384C2F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0" w:right="0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Актуальность данной темы обусловлена тем, что на сегодняшний день количество учебных пособий и материалов показывает, что в последние годы наблюдается значительное увеличение интереса к теме развития учебных универсальный действий у школьников среди педагогов, исследователей и образовательных учреждений. В результате этого увеличения появилось множество ресурсов, включая теоретические исследования, методические рекомендации, практические пособия и онлайн-курсы. Данной теме посвящено большое количесво литературы, например, изучением занимались :  А.Г. Асмолов, Г.В. Бурменская, Ю.К. Бабанский, Л.С. Выготский, </w:t>
      </w:r>
    </w:p>
    <w:p w14:paraId="2672EAB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Л.А. Венгер и многие другие.</w:t>
      </w:r>
    </w:p>
    <w:p w14:paraId="412CAB0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Материалы, доступные на сегодняшний день, отражают современные требования образования, такие как создание компетентностного подхода, интеграция цифровых технологий и адаптация к новым условиям обучения, включая дистанционное обучение. Тем не менее, не все пособия могут быть одинаково актуальными, и важно отличать качественные материалы от устаревших или неэффективных. Необходимо продолжать изучение данной темы, чтобы обеспечить качественное и эффективное образование. Более того, постоянно обновляющиеся научные подходы и необходимость удовлетворения разнообразных потребностей учащихся требуют дополнительных усилий в исследовательской деятельности и разработке новых материалов, соответственно, выбранная мной тема актуальна.</w:t>
      </w:r>
    </w:p>
    <w:p w14:paraId="457D72B7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t> </w:t>
      </w:r>
    </w:p>
    <w:p w14:paraId="75267E4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t> </w:t>
      </w:r>
    </w:p>
    <w:p w14:paraId="77F8D0E1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Обьектом 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исследования является процесс обучения на уроках биологии </w:t>
      </w:r>
    </w:p>
    <w:p w14:paraId="249D26A5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Предметом исслелования 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является  формирование познавательных универсальных учебных действий в процессе обучения биологии </w:t>
      </w: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 xml:space="preserve">Цель работы: 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>Формирование и повышения уровня познавательных универсальных учебных действий в процессе обучения биологии</w:t>
      </w:r>
    </w:p>
    <w:p w14:paraId="495570CF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 xml:space="preserve">Гипотеза: 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>при систематическом и целенаправленном применении в процессе обучения на урока биологии активных методов и форм обучения, направленных на развитие или формирование познавательных ууд, то это приведет к улучшению навыков анализа, структурированию, понимаю и классификации информации, а также к повышению уровня заинтересованности к предмету «Биология».</w:t>
      </w:r>
    </w:p>
    <w:p w14:paraId="3BC436D2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t> </w:t>
      </w:r>
    </w:p>
    <w:p w14:paraId="45A529F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Это включает в себя следующие </w:t>
      </w: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задачи:</w:t>
      </w:r>
    </w:p>
    <w:p w14:paraId="4E430895"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0"/>
          <w:tab w:val="clear" w:pos="425"/>
        </w:tabs>
        <w:spacing w:before="0" w:beforeAutospacing="0" w:after="0" w:afterAutospacing="0" w:line="360" w:lineRule="auto"/>
        <w:ind w:left="425" w:leftChars="0" w:hanging="425" w:firstLineChars="0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Провести анализ</w:t>
      </w: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 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>научной и учебно-методической литературы по проблеме формирования познавательных универсальных учебных действий в процессе обучения биологии</w:t>
      </w:r>
    </w:p>
    <w:p w14:paraId="1B708AAC"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0"/>
          <w:tab w:val="clear" w:pos="425"/>
        </w:tabs>
        <w:spacing w:before="0" w:beforeAutospacing="0" w:after="0" w:afterAutospacing="0" w:line="360" w:lineRule="auto"/>
        <w:ind w:left="425" w:leftChars="0" w:hanging="425" w:firstLineChars="0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Изучить с помощью анкетирования опыт учителей, связанный с формированием познавательных универсальных учебных действий в процессе обучения.</w:t>
      </w:r>
    </w:p>
    <w:p w14:paraId="7AF94963"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0"/>
          <w:tab w:val="clear" w:pos="425"/>
        </w:tabs>
        <w:spacing w:before="0" w:beforeAutospacing="0" w:after="0" w:afterAutospacing="0" w:line="360" w:lineRule="auto"/>
        <w:ind w:left="425" w:leftChars="0" w:hanging="425" w:firstLineChars="0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Разработать методические материалы для формирования познавательных УУД </w:t>
      </w:r>
    </w:p>
    <w:p w14:paraId="599B700E"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425" w:leftChars="0" w:hanging="425" w:firstLineChars="0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Провести педагогический эксперимент по формированию познавательных универсальных учебных действий в </w:t>
      </w:r>
    </w:p>
    <w:p w14:paraId="43EF0BC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t> </w:t>
      </w:r>
    </w:p>
    <w:p w14:paraId="18785FC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Методы исследования:  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>анализ научной, педагогической и методической литературы по проблеме исследования; анкетирование, разработка методических материалов, педагогический эксперимент, анализ и интерпретация его результатов.</w:t>
      </w:r>
    </w:p>
    <w:p w14:paraId="67E66FA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>Теоретическая значимость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 xml:space="preserve"> работы заключается в том, что она помогает раскрыть следующие аспекты: Обосновать место познавательных универсальных учебных действий (УУД) в блоке метапредметных достижений, показать, как формирование УУД влияет на развитие познавательной сферы школьников, объяснить, как формирование УУД помогает ученику в дальнейшей жизни</w:t>
      </w:r>
    </w:p>
    <w:p w14:paraId="15179E9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color w:val="000000"/>
          <w:sz w:val="28"/>
          <w:szCs w:val="28"/>
        </w:rPr>
        <w:t xml:space="preserve">Практическая значимость исследования </w:t>
      </w:r>
      <w:r>
        <w:rPr>
          <w:rFonts w:hint="default" w:ascii="Times New Roman" w:hAnsi="Times New Roman" w:cs="Times New Roman"/>
          <w:color w:val="000000"/>
          <w:sz w:val="28"/>
          <w:szCs w:val="28"/>
        </w:rPr>
        <w:t>заключается в совершенствовании методик преподавания биологии, разработке методических рекомендаций, повышению эффективности обучения биологии, что, в свою очередь, приводит к повышению уровня знаний и заинтересованности обучающихся к естественно-научным дисциплинам.</w:t>
      </w:r>
    </w:p>
    <w:p w14:paraId="093B4896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</w:p>
    <w:p w14:paraId="7253AB3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</w:p>
    <w:p w14:paraId="38C4B71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</w:p>
    <w:p w14:paraId="4FE68BC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</w:p>
    <w:p w14:paraId="2E8FADE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center"/>
        <w:rPr>
          <w:rFonts w:hint="default" w:ascii="Times New Roman" w:hAnsi="Times New Roman"/>
          <w:b/>
          <w:bCs/>
          <w:sz w:val="28"/>
          <w:szCs w:val="28"/>
          <w:lang w:val="ru-RU"/>
        </w:rPr>
      </w:pPr>
      <w:r>
        <w:rPr>
          <w:rFonts w:hint="default" w:ascii="Times New Roman" w:hAnsi="Times New Roman"/>
          <w:b/>
          <w:bCs/>
          <w:sz w:val="28"/>
          <w:szCs w:val="28"/>
          <w:lang w:val="ru-RU"/>
        </w:rPr>
        <w:t>Основная часть</w:t>
      </w:r>
    </w:p>
    <w:p w14:paraId="235AD562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/>
          <w:color w:val="000000"/>
          <w:sz w:val="28"/>
          <w:szCs w:val="28"/>
        </w:rPr>
      </w:pPr>
      <w:r>
        <w:rPr>
          <w:rFonts w:hint="default" w:ascii="Times New Roman" w:hAnsi="Times New Roman"/>
          <w:color w:val="000000"/>
          <w:sz w:val="28"/>
          <w:szCs w:val="28"/>
        </w:rPr>
        <w:t>Понятие УУД и его виды</w:t>
      </w:r>
    </w:p>
    <w:p w14:paraId="3B99871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  <w:r>
        <w:rPr>
          <w:rFonts w:hint="default" w:ascii="Times New Roman" w:hAnsi="Times New Roman"/>
          <w:color w:val="000000"/>
          <w:sz w:val="28"/>
          <w:szCs w:val="28"/>
        </w:rPr>
        <w:t>Универсальные учебные действия (УУД) по ФГОС —это умение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ученика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учиться, способность к саморазвитию за счёт активной познавательной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деятельности. Это совокупность приёмов, которые помогают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успешно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усваивать новые знания и умения, а также применять их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в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учебных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и</w:t>
      </w:r>
      <w:r>
        <w:rPr>
          <w:rFonts w:hint="default" w:ascii="Times New Roman" w:hAnsi="Times New Roman"/>
          <w:color w:val="000000"/>
          <w:sz w:val="28"/>
          <w:szCs w:val="28"/>
          <w:lang w:val="ru-RU"/>
        </w:rPr>
        <w:t xml:space="preserve"> </w:t>
      </w:r>
      <w:r>
        <w:rPr>
          <w:rFonts w:hint="default" w:ascii="Times New Roman" w:hAnsi="Times New Roman"/>
          <w:color w:val="000000"/>
          <w:sz w:val="28"/>
          <w:szCs w:val="28"/>
        </w:rPr>
        <w:t>жизненных ситуациях.</w:t>
      </w:r>
    </w:p>
    <w:p w14:paraId="56C1BC0A">
      <w:pPr>
        <w:wordWrap/>
        <w:jc w:val="left"/>
      </w:pPr>
      <w:r>
        <w:drawing>
          <wp:inline distT="0" distB="0" distL="114300" distR="114300">
            <wp:extent cx="5536565" cy="2795270"/>
            <wp:effectExtent l="0" t="6350" r="0" b="2540"/>
            <wp:docPr id="5" name="Диаграм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14:paraId="3BF021C7">
      <w:pPr>
        <w:wordWrap/>
        <w:jc w:val="left"/>
      </w:pPr>
    </w:p>
    <w:p w14:paraId="4A5A9140">
      <w:pPr>
        <w:wordWrap/>
        <w:jc w:val="left"/>
        <w:rPr>
          <w:rFonts w:hint="default"/>
          <w:lang w:val="ru-RU"/>
        </w:rPr>
      </w:pPr>
    </w:p>
    <w:p w14:paraId="3858660D">
      <w:pPr>
        <w:wordWrap/>
        <w:jc w:val="left"/>
        <w:rPr>
          <w:rFonts w:hint="default"/>
          <w:lang w:val="ru-RU"/>
        </w:rPr>
      </w:pPr>
    </w:p>
    <w:p w14:paraId="65EBCCDB">
      <w:pPr>
        <w:wordWrap/>
        <w:jc w:val="left"/>
        <w:rPr>
          <w:rFonts w:hint="default"/>
          <w:lang w:val="ru-RU"/>
        </w:rPr>
      </w:pPr>
    </w:p>
    <w:p w14:paraId="7F0BBAA2">
      <w:pPr>
        <w:wordWrap/>
        <w:jc w:val="left"/>
        <w:rPr>
          <w:rFonts w:hint="default"/>
          <w:lang w:val="ru-RU"/>
        </w:rPr>
      </w:pPr>
    </w:p>
    <w:p w14:paraId="7CC82D74">
      <w:pPr>
        <w:wordWrap/>
        <w:jc w:val="left"/>
        <w:rPr>
          <w:rFonts w:hint="default"/>
          <w:lang w:val="ru-RU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-175260</wp:posOffset>
            </wp:positionH>
            <wp:positionV relativeFrom="paragraph">
              <wp:posOffset>22860</wp:posOffset>
            </wp:positionV>
            <wp:extent cx="6108700" cy="2907665"/>
            <wp:effectExtent l="0" t="0" r="2540" b="3175"/>
            <wp:wrapThrough wrapText="bothSides">
              <wp:wrapPolygon>
                <wp:start x="0" y="0"/>
                <wp:lineTo x="0" y="21510"/>
                <wp:lineTo x="21555" y="21510"/>
                <wp:lineTo x="21555" y="0"/>
                <wp:lineTo x="0" y="0"/>
              </wp:wrapPolygon>
            </wp:wrapThrough>
            <wp:docPr id="1" name="Изображение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 1"/>
                    <pic:cNvPicPr>
                      <a:picLocks noChangeAspect="1"/>
                    </pic:cNvPicPr>
                  </pic:nvPicPr>
                  <pic:blipFill>
                    <a:blip r:embed="rId9"/>
                    <a:srcRect t="15400"/>
                    <a:stretch>
                      <a:fillRect/>
                    </a:stretch>
                  </pic:blipFill>
                  <pic:spPr>
                    <a:xfrm>
                      <a:off x="0" y="0"/>
                      <a:ext cx="6108700" cy="290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80E84FF">
      <w:pPr>
        <w:wordWrap/>
        <w:jc w:val="left"/>
        <w:rPr>
          <w:rFonts w:hint="default"/>
          <w:lang w:val="ru-RU"/>
        </w:rPr>
      </w:pPr>
      <w: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-464820</wp:posOffset>
            </wp:positionH>
            <wp:positionV relativeFrom="paragraph">
              <wp:posOffset>-320040</wp:posOffset>
            </wp:positionV>
            <wp:extent cx="6446520" cy="3166745"/>
            <wp:effectExtent l="0" t="0" r="0" b="3175"/>
            <wp:wrapThrough wrapText="bothSides">
              <wp:wrapPolygon>
                <wp:start x="0" y="0"/>
                <wp:lineTo x="0" y="21518"/>
                <wp:lineTo x="21549" y="21518"/>
                <wp:lineTo x="21549" y="0"/>
                <wp:lineTo x="0" y="0"/>
              </wp:wrapPolygon>
            </wp:wrapThrough>
            <wp:docPr id="3" name="Изображение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Изображение 3"/>
                    <pic:cNvPicPr>
                      <a:picLocks noChangeAspect="1"/>
                    </pic:cNvPicPr>
                  </pic:nvPicPr>
                  <pic:blipFill>
                    <a:blip r:embed="rId10"/>
                    <a:srcRect t="14166"/>
                    <a:stretch>
                      <a:fillRect/>
                    </a:stretch>
                  </pic:blipFill>
                  <pic:spPr>
                    <a:xfrm>
                      <a:off x="0" y="0"/>
                      <a:ext cx="6446520" cy="316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6D5F975">
      <w:pPr>
        <w:wordWrap/>
        <w:jc w:val="left"/>
        <w:rPr>
          <w:rFonts w:hint="default"/>
          <w:lang w:val="ru-RU"/>
        </w:rPr>
      </w:pPr>
    </w:p>
    <w:p w14:paraId="272227B1">
      <w:pPr>
        <w:wordWrap/>
        <w:jc w:val="left"/>
        <w:rPr>
          <w:rFonts w:hint="default"/>
          <w:lang w:val="ru-RU"/>
        </w:rPr>
      </w:pPr>
    </w:p>
    <w:p w14:paraId="0B4F1B86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0" w:right="0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На основании результатов проведённой оценки уровня сформированности познавательных универсальных учебных действий (УУД) у педагогов и учащихся, представляется возможным сформулировать ряд заключений. Анализ данных, полученных в ходе тестирования, позволяет сделать выводы о степени развития навыков, связанных с познавательной деятельностью, как у преподавательского состава, так и у студенческой аудитории.</w:t>
      </w:r>
    </w:p>
    <w:p w14:paraId="344BCA9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В результате анализа проведённых контрольных мероприятий, направленных на выявление уровня развития познавательных УУД у преподавателей и учащихся, можно констатировать следующее:</w:t>
      </w:r>
    </w:p>
    <w:p w14:paraId="60144394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1. Высокий уровень осведомленности: Результаты тестирования показывают, что как учителя, так и студенты обладают хорошими знаниями о познавательных УУД и их значении в образовательном процессе.</w:t>
      </w:r>
    </w:p>
    <w:p w14:paraId="397ECB3D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2. Действенные подходы: Собранная информация указывает на то, что используемые образовательные стратегии и методики стимулируют развитие навыков критического анализа, умения обрабатывать и систематизировать информацию, что представляет собой ключевые элементы познавательных УУД.</w:t>
      </w:r>
    </w:p>
    <w:p w14:paraId="5461C78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jc w:val="both"/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3. Главной проблемой был отмечен низкий/средний уровень уровень подготовки учителей по вопросам развития УУД, может затруднить реализацию современных образовательных стандартов и снизить качество образования в школе.</w:t>
      </w:r>
    </w:p>
    <w:p w14:paraId="76C1304F"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A11525"/>
    <w:multiLevelType w:val="singleLevel"/>
    <w:tmpl w:val="18A11525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08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6B7C30"/>
    <w:rsid w:val="606B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77D31B3-3808-4FBA-8FA4-CC8D448A173E}" type="doc">
      <dgm:prSet loTypeId="hierarchy" loCatId="hierarchy" qsTypeId="urn:microsoft.com/office/officeart/2005/8/quickstyle/simple1" qsCatId="simple" csTypeId="urn:microsoft.com/office/officeart/2005/8/colors/accent0_3" csCatId="accent1" phldr="0"/>
      <dgm:spPr/>
      <dgm:t>
        <a:bodyPr/>
        <a:p>
          <a:endParaRPr lang="zh-CN" altLang="en-US"/>
        </a:p>
      </dgm:t>
    </dgm:pt>
    <dgm:pt modelId="{47C757F0-AA23-46BE-9311-EA432CDEEAA1}">
      <dgm:prSet phldrT="[Текст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ru-RU" sz="1400"/>
            <a:t> </a:t>
          </a:r>
          <a:r>
            <a:rPr lang="ru-RU" altLang="en-US" sz="1400"/>
            <a:t>М</a:t>
          </a:r>
          <a:r>
            <a:rPr lang="ru-RU" altLang="en-US" sz="1400"/>
            <a:t>етодические приемы по формированию</a:t>
          </a:r>
          <a:r>
            <a:rPr lang="en-US" altLang="ru-RU" sz="1400"/>
            <a:t> </a:t>
          </a:r>
          <a:r>
            <a:rPr lang="en-US" altLang="en-US" sz="1400"/>
            <a:t>УУД</a:t>
          </a:r>
          <a:r>
            <a:rPr lang="en-US" altLang="en-US" sz="1400"/>
            <a:t/>
          </a:r>
          <a:endParaRPr lang="en-US" altLang="en-US" sz="1400"/>
        </a:p>
      </dgm:t>
    </dgm:pt>
    <dgm:pt modelId="{AB39B06D-FE6C-48B2-B5B4-77CD0C8CF7AD}" cxnId="{B07009A3-99D4-414C-9CA0-F4B447474578}" type="parTrans">
      <dgm:prSet/>
      <dgm:spPr/>
      <dgm:t>
        <a:bodyPr/>
        <a:p>
          <a:endParaRPr lang="zh-CN" altLang="en-US"/>
        </a:p>
      </dgm:t>
    </dgm:pt>
    <dgm:pt modelId="{DF0D1C21-B79E-4875-B7FA-EF183CB48B88}" cxnId="{B07009A3-99D4-414C-9CA0-F4B447474578}" type="sibTrans">
      <dgm:prSet/>
      <dgm:spPr/>
      <dgm:t>
        <a:bodyPr/>
        <a:p>
          <a:endParaRPr lang="zh-CN" altLang="en-US"/>
        </a:p>
      </dgm:t>
    </dgm:pt>
    <dgm:pt modelId="{B29BF47F-FB6F-4BB3-8B1F-25C507DDACF5}" type="asst">
      <dgm:prSet phldrT="[Текст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200"/>
            <a:t>Проектная</a:t>
          </a:r>
          <a:r>
            <a:rPr lang="en-US" altLang="ru-RU" sz="1200"/>
            <a:t> </a:t>
          </a:r>
          <a:r>
            <a:rPr lang="en-US" altLang="en-US" sz="1200"/>
            <a:t>деятельность</a:t>
          </a:r>
          <a:r>
            <a:rPr lang="en-US" altLang="ru-RU" sz="1200"/>
            <a:t> </a:t>
          </a:r>
          <a:r>
            <a:rPr lang="en-US" altLang="en-US" sz="1200"/>
            <a:t>как</a:t>
          </a:r>
          <a:r>
            <a:rPr lang="en-US" altLang="ru-RU" sz="1200"/>
            <a:t> </a:t>
          </a:r>
          <a:r>
            <a:rPr lang="en-US" altLang="en-US" sz="1200"/>
            <a:t>метод</a:t>
          </a:r>
          <a:r>
            <a:rPr lang="ru-RU" altLang="en-US" sz="1200"/>
            <a:t>ический прием</a:t>
          </a:r>
          <a:r>
            <a:rPr lang="ru-RU" altLang="en-US" sz="1200"/>
            <a:t/>
          </a:r>
          <a:endParaRPr lang="ru-RU" altLang="en-US" sz="1200"/>
        </a:p>
      </dgm:t>
    </dgm:pt>
    <dgm:pt modelId="{4294CB15-5EAF-442A-BADC-24588A60ECFF}" cxnId="{80CCA0A4-B588-40A5-945C-E53CF560FFFD}" type="parTrans">
      <dgm:prSet/>
      <dgm:spPr/>
      <dgm:t>
        <a:bodyPr/>
        <a:p>
          <a:endParaRPr lang="zh-CN" altLang="en-US"/>
        </a:p>
      </dgm:t>
    </dgm:pt>
    <dgm:pt modelId="{4FBEC948-3FA9-4375-B83A-B44348E5F34D}" cxnId="{80CCA0A4-B588-40A5-945C-E53CF560FFFD}" type="sibTrans">
      <dgm:prSet/>
      <dgm:spPr/>
      <dgm:t>
        <a:bodyPr/>
        <a:p>
          <a:endParaRPr lang="zh-CN" altLang="en-US"/>
        </a:p>
      </dgm:t>
    </dgm:pt>
    <dgm:pt modelId="{12714FC6-8B41-47E5-91DD-F02D34D23B93}">
      <dgm:prSet phldrT="[Текст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200"/>
            <a:t>Групповая</a:t>
          </a:r>
          <a:r>
            <a:rPr lang="en-US" altLang="ru-RU" sz="1200"/>
            <a:t> </a:t>
          </a:r>
          <a:r>
            <a:rPr lang="en-US" altLang="en-US" sz="1200"/>
            <a:t>работа</a:t>
          </a:r>
          <a:r>
            <a:rPr lang="en-US" altLang="ru-RU" sz="1200"/>
            <a:t> </a:t>
          </a:r>
          <a:r>
            <a:rPr lang="ru-RU" altLang="en-US" sz="1200"/>
            <a:t>как методический прием</a:t>
          </a:r>
          <a:r>
            <a:rPr lang="ru-RU" altLang="en-US" sz="1200"/>
            <a:t/>
          </a:r>
          <a:endParaRPr lang="ru-RU" altLang="en-US" sz="1200"/>
        </a:p>
      </dgm:t>
    </dgm:pt>
    <dgm:pt modelId="{EACD17F5-D793-4A43-B489-D1804D50CFEF}" cxnId="{EEF4ACB4-9956-469D-B4EC-79B8A4D1C8BC}" type="parTrans">
      <dgm:prSet/>
      <dgm:spPr/>
      <dgm:t>
        <a:bodyPr/>
        <a:p>
          <a:endParaRPr lang="zh-CN" altLang="en-US"/>
        </a:p>
      </dgm:t>
    </dgm:pt>
    <dgm:pt modelId="{FA45D93F-0724-4936-AA45-E6762732A19D}" cxnId="{EEF4ACB4-9956-469D-B4EC-79B8A4D1C8BC}" type="sibTrans">
      <dgm:prSet/>
      <dgm:spPr/>
      <dgm:t>
        <a:bodyPr/>
        <a:p>
          <a:endParaRPr lang="zh-CN" altLang="en-US"/>
        </a:p>
      </dgm:t>
    </dgm:pt>
    <dgm:pt modelId="{4EC42421-831D-4CD3-8215-2AF4300F9C01}">
      <dgm:prSet phldrT="[Текст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000"/>
            <a:t>Индивидуальные</a:t>
          </a:r>
          <a:r>
            <a:rPr lang="en-US" altLang="ru-RU" sz="1000"/>
            <a:t> </a:t>
          </a:r>
          <a:r>
            <a:rPr lang="en-US" altLang="en-US" sz="1000"/>
            <a:t>задания</a:t>
          </a:r>
          <a:r>
            <a:rPr lang="en-US" altLang="ru-RU" sz="1000"/>
            <a:t>: </a:t>
          </a:r>
          <a:r>
            <a:rPr lang="en-US" altLang="en-US" sz="1000"/>
            <a:t>развитие</a:t>
          </a:r>
          <a:r>
            <a:rPr lang="en-US" altLang="ru-RU" sz="1000"/>
            <a:t> </a:t>
          </a:r>
          <a:r>
            <a:rPr lang="en-US" altLang="en-US" sz="1000"/>
            <a:t>самостоятельности</a:t>
          </a:r>
          <a:r>
            <a:rPr lang="en-US" altLang="ru-RU" sz="1000"/>
            <a:t> </a:t>
          </a:r>
          <a:r>
            <a:rPr lang="en-US" altLang="en-US" sz="1000"/>
            <a:t>учащихся</a:t>
          </a:r>
          <a:r>
            <a:rPr lang="en-US" altLang="en-US" sz="1000"/>
            <a:t/>
          </a:r>
          <a:endParaRPr lang="en-US" altLang="en-US" sz="1000"/>
        </a:p>
      </dgm:t>
    </dgm:pt>
    <dgm:pt modelId="{8D5FB264-0A5C-4C3A-85B7-453D9BD837DF}" cxnId="{64BE7DCE-E7C3-465D-A726-D313D514ECD3}" type="parTrans">
      <dgm:prSet/>
      <dgm:spPr/>
      <dgm:t>
        <a:bodyPr/>
        <a:p>
          <a:endParaRPr lang="zh-CN" altLang="en-US"/>
        </a:p>
      </dgm:t>
    </dgm:pt>
    <dgm:pt modelId="{A1825131-D805-48C8-BFCE-E45C02E6F5CE}" cxnId="{64BE7DCE-E7C3-465D-A726-D313D514ECD3}" type="sibTrans">
      <dgm:prSet/>
      <dgm:spPr/>
      <dgm:t>
        <a:bodyPr/>
        <a:p>
          <a:endParaRPr lang="zh-CN" altLang="en-US"/>
        </a:p>
      </dgm:t>
    </dgm:pt>
    <dgm:pt modelId="{CF717C8A-B40B-4AFF-BF49-65ABB7DF8190}">
      <dgm:prSet phldrT="[Текст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000"/>
            <a:t>Использование</a:t>
          </a:r>
          <a:r>
            <a:rPr lang="en-US" altLang="ru-RU" sz="1000"/>
            <a:t> </a:t>
          </a:r>
          <a:r>
            <a:rPr lang="en-US" altLang="en-US" sz="1000"/>
            <a:t>информационно</a:t>
          </a:r>
          <a:r>
            <a:rPr lang="en-US" altLang="ru-RU" sz="1000"/>
            <a:t>-</a:t>
          </a:r>
          <a:r>
            <a:rPr lang="en-US" altLang="en-US" sz="1000"/>
            <a:t>коммуникационных</a:t>
          </a:r>
          <a:r>
            <a:rPr lang="en-US" altLang="ru-RU" sz="1000"/>
            <a:t> </a:t>
          </a:r>
          <a:r>
            <a:rPr lang="en-US" altLang="en-US" sz="1000"/>
            <a:t>технологий</a:t>
          </a:r>
          <a:r>
            <a:rPr lang="en-US" altLang="ru-RU" sz="1000"/>
            <a:t> (</a:t>
          </a:r>
          <a:r>
            <a:rPr lang="en-US" altLang="en-US" sz="1000"/>
            <a:t>ИКТ</a:t>
          </a:r>
          <a:r>
            <a:rPr lang="en-US" altLang="ru-RU" sz="1000"/>
            <a:t>)</a:t>
          </a:r>
          <a:r>
            <a:rPr lang="en-US" altLang="ru-RU" sz="1000"/>
            <a:t/>
          </a:r>
          <a:endParaRPr lang="en-US" altLang="ru-RU" sz="1000"/>
        </a:p>
      </dgm:t>
    </dgm:pt>
    <dgm:pt modelId="{CCF68ADE-40B6-47D0-93C1-88EC13ADC8AC}" cxnId="{991B3956-C24E-4951-8C24-90C30D087F60}" type="parTrans">
      <dgm:prSet/>
      <dgm:spPr/>
      <dgm:t>
        <a:bodyPr/>
        <a:p>
          <a:endParaRPr lang="zh-CN" altLang="en-US"/>
        </a:p>
      </dgm:t>
    </dgm:pt>
    <dgm:pt modelId="{630D3E0B-D1D7-4E1A-8193-515AA5E1866F}" cxnId="{991B3956-C24E-4951-8C24-90C30D087F60}" type="sibTrans">
      <dgm:prSet/>
      <dgm:spPr/>
      <dgm:t>
        <a:bodyPr/>
        <a:p>
          <a:endParaRPr lang="zh-CN" altLang="en-US"/>
        </a:p>
      </dgm:t>
    </dgm:pt>
    <dgm:pt modelId="{E498DC9C-C5AC-4482-A26F-3B99DC5D79F0}" type="pres">
      <dgm:prSet presAssocID="{A77D31B3-3808-4FBA-8FA4-CC8D448A173E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F728C3E8-5128-4BB6-90CC-A86769ECE335}" type="pres">
      <dgm:prSet presAssocID="{47C757F0-AA23-46BE-9311-EA432CDEEAA1}" presName="hierRoot1" presStyleCnt="0">
        <dgm:presLayoutVars>
          <dgm:hierBranch val="init"/>
        </dgm:presLayoutVars>
      </dgm:prSet>
      <dgm:spPr/>
    </dgm:pt>
    <dgm:pt modelId="{79147750-B6BF-43FD-83A0-7ACDC9B53EFF}" type="pres">
      <dgm:prSet presAssocID="{47C757F0-AA23-46BE-9311-EA432CDEEAA1}" presName="rootComposite1" presStyleCnt="0"/>
      <dgm:spPr/>
    </dgm:pt>
    <dgm:pt modelId="{AE79172D-D441-42BB-84EA-E3D989670DED}" type="pres">
      <dgm:prSet presAssocID="{47C757F0-AA23-46BE-9311-EA432CDEEAA1}" presName="rootText1" presStyleLbl="node0" presStyleIdx="0" presStyleCnt="1" custScaleX="211639" custScaleY="133490">
        <dgm:presLayoutVars>
          <dgm:chPref val="3"/>
        </dgm:presLayoutVars>
      </dgm:prSet>
      <dgm:spPr/>
    </dgm:pt>
    <dgm:pt modelId="{86420519-308D-4A6A-8FEA-6FB2E39BA448}" type="pres">
      <dgm:prSet presAssocID="{47C757F0-AA23-46BE-9311-EA432CDEEAA1}" presName="rootConnector1" presStyleCnt="0"/>
      <dgm:spPr/>
    </dgm:pt>
    <dgm:pt modelId="{9A0FF10C-81C7-47CD-A320-768F2009480B}" type="pres">
      <dgm:prSet presAssocID="{47C757F0-AA23-46BE-9311-EA432CDEEAA1}" presName="hierChild2" presStyleCnt="0"/>
      <dgm:spPr/>
    </dgm:pt>
    <dgm:pt modelId="{6A259130-4455-44E0-969B-948D1249687E}" type="pres">
      <dgm:prSet presAssocID="{EACD17F5-D793-4A43-B489-D1804D50CFEF}" presName="Name37" presStyleLbl="parChTrans1D2" presStyleIdx="0" presStyleCnt="4"/>
      <dgm:spPr/>
    </dgm:pt>
    <dgm:pt modelId="{D6C5C065-A308-417C-8ECC-04FC2BEC646C}" type="pres">
      <dgm:prSet presAssocID="{12714FC6-8B41-47E5-91DD-F02D34D23B93}" presName="hierRoot2" presStyleCnt="0">
        <dgm:presLayoutVars>
          <dgm:hierBranch val="init"/>
        </dgm:presLayoutVars>
      </dgm:prSet>
      <dgm:spPr/>
    </dgm:pt>
    <dgm:pt modelId="{E36491EF-5019-46FD-BC82-1BD579B9EE0E}" type="pres">
      <dgm:prSet presAssocID="{12714FC6-8B41-47E5-91DD-F02D34D23B93}" presName="rootComposite" presStyleCnt="0"/>
      <dgm:spPr/>
    </dgm:pt>
    <dgm:pt modelId="{43B7C837-49D6-40CE-BBAB-953D9E4BA7ED}" type="pres">
      <dgm:prSet presAssocID="{12714FC6-8B41-47E5-91DD-F02D34D23B93}" presName="rootText" presStyleLbl="node2" presStyleIdx="0" presStyleCnt="3" custScaleX="122863" custLinFactY="-31618" custLinFactNeighborX="-4698" custLinFactNeighborY="-100000">
        <dgm:presLayoutVars>
          <dgm:chPref val="3"/>
        </dgm:presLayoutVars>
      </dgm:prSet>
      <dgm:spPr/>
    </dgm:pt>
    <dgm:pt modelId="{9A037140-9B69-4B9F-A134-F2F2EB0F2E32}" type="pres">
      <dgm:prSet presAssocID="{12714FC6-8B41-47E5-91DD-F02D34D23B93}" presName="rootConnector" presStyleCnt="0"/>
      <dgm:spPr/>
    </dgm:pt>
    <dgm:pt modelId="{FA37AA5D-87C2-47F6-9B72-B753C073E744}" type="pres">
      <dgm:prSet presAssocID="{12714FC6-8B41-47E5-91DD-F02D34D23B93}" presName="hierChild4" presStyleCnt="0"/>
      <dgm:spPr/>
    </dgm:pt>
    <dgm:pt modelId="{A7309641-2A58-41EA-9E42-56812CF298ED}" type="pres">
      <dgm:prSet presAssocID="{12714FC6-8B41-47E5-91DD-F02D34D23B93}" presName="hierChild5" presStyleCnt="0"/>
      <dgm:spPr/>
    </dgm:pt>
    <dgm:pt modelId="{F492B679-3C8C-4E72-95A8-8B81298826E7}" type="pres">
      <dgm:prSet presAssocID="{8D5FB264-0A5C-4C3A-85B7-453D9BD837DF}" presName="Name37" presStyleLbl="parChTrans1D2" presStyleIdx="1" presStyleCnt="4"/>
      <dgm:spPr/>
    </dgm:pt>
    <dgm:pt modelId="{C6F584B9-7EA2-46D8-913B-8F508509ECAB}" type="pres">
      <dgm:prSet presAssocID="{4EC42421-831D-4CD3-8215-2AF4300F9C01}" presName="hierRoot2" presStyleCnt="0">
        <dgm:presLayoutVars>
          <dgm:hierBranch val="init"/>
        </dgm:presLayoutVars>
      </dgm:prSet>
      <dgm:spPr/>
    </dgm:pt>
    <dgm:pt modelId="{6CAD9CE6-86A1-4F7D-98A6-3AF53F55F9E3}" type="pres">
      <dgm:prSet presAssocID="{4EC42421-831D-4CD3-8215-2AF4300F9C01}" presName="rootComposite" presStyleCnt="0"/>
      <dgm:spPr/>
    </dgm:pt>
    <dgm:pt modelId="{08A0D1D2-3A20-4D63-8E35-B7C8B6B16D48}" type="pres">
      <dgm:prSet presAssocID="{4EC42421-831D-4CD3-8215-2AF4300F9C01}" presName="rootText" presStyleLbl="node2" presStyleIdx="1" presStyleCnt="3" custScaleX="113659" custLinFactNeighborX="-67972" custLinFactNeighborY="-5508">
        <dgm:presLayoutVars>
          <dgm:chPref val="3"/>
        </dgm:presLayoutVars>
      </dgm:prSet>
      <dgm:spPr/>
    </dgm:pt>
    <dgm:pt modelId="{6238C53E-A961-488B-8FBD-6EC13507B069}" type="pres">
      <dgm:prSet presAssocID="{4EC42421-831D-4CD3-8215-2AF4300F9C01}" presName="rootConnector" presStyleCnt="0"/>
      <dgm:spPr/>
    </dgm:pt>
    <dgm:pt modelId="{A9C46FD3-3BE9-4E6E-BFF6-B0B42B13F857}" type="pres">
      <dgm:prSet presAssocID="{4EC42421-831D-4CD3-8215-2AF4300F9C01}" presName="hierChild4" presStyleCnt="0"/>
      <dgm:spPr/>
    </dgm:pt>
    <dgm:pt modelId="{A663BBFB-A120-4F5B-82EC-DB644DB9966B}" type="pres">
      <dgm:prSet presAssocID="{4EC42421-831D-4CD3-8215-2AF4300F9C01}" presName="hierChild5" presStyleCnt="0"/>
      <dgm:spPr/>
    </dgm:pt>
    <dgm:pt modelId="{AB3A8128-6C86-49B7-B5CC-0153888815E5}" type="pres">
      <dgm:prSet presAssocID="{CCF68ADE-40B6-47D0-93C1-88EC13ADC8AC}" presName="Name37" presStyleLbl="parChTrans1D2" presStyleIdx="2" presStyleCnt="4"/>
      <dgm:spPr/>
    </dgm:pt>
    <dgm:pt modelId="{1A917F9A-DDE6-4568-B35C-7FABCEF0A586}" type="pres">
      <dgm:prSet presAssocID="{CF717C8A-B40B-4AFF-BF49-65ABB7DF8190}" presName="hierRoot2" presStyleCnt="0">
        <dgm:presLayoutVars>
          <dgm:hierBranch val="init"/>
        </dgm:presLayoutVars>
      </dgm:prSet>
      <dgm:spPr/>
    </dgm:pt>
    <dgm:pt modelId="{FA949B67-3DB7-47FA-97C9-4A653E762F22}" type="pres">
      <dgm:prSet presAssocID="{CF717C8A-B40B-4AFF-BF49-65ABB7DF8190}" presName="rootComposite" presStyleCnt="0"/>
      <dgm:spPr/>
    </dgm:pt>
    <dgm:pt modelId="{7D64F4A3-0E55-47AC-A59B-9D5A9DC25552}" type="pres">
      <dgm:prSet presAssocID="{CF717C8A-B40B-4AFF-BF49-65ABB7DF8190}" presName="rootText" presStyleLbl="node2" presStyleIdx="2" presStyleCnt="3" custScaleX="119795" custLinFactNeighborX="-36161" custLinFactNeighborY="-5509">
        <dgm:presLayoutVars>
          <dgm:chPref val="3"/>
        </dgm:presLayoutVars>
      </dgm:prSet>
      <dgm:spPr/>
    </dgm:pt>
    <dgm:pt modelId="{5667CB49-EC34-46BC-AD2D-72F3BD95D049}" type="pres">
      <dgm:prSet presAssocID="{CF717C8A-B40B-4AFF-BF49-65ABB7DF8190}" presName="rootConnector" presStyleCnt="0"/>
      <dgm:spPr/>
    </dgm:pt>
    <dgm:pt modelId="{EB3A10DA-2FA4-4DAD-8341-8078D7F83716}" type="pres">
      <dgm:prSet presAssocID="{CF717C8A-B40B-4AFF-BF49-65ABB7DF8190}" presName="hierChild4" presStyleCnt="0"/>
      <dgm:spPr/>
    </dgm:pt>
    <dgm:pt modelId="{B05C5608-85C8-433E-A928-1755312B673B}" type="pres">
      <dgm:prSet presAssocID="{CF717C8A-B40B-4AFF-BF49-65ABB7DF8190}" presName="hierChild5" presStyleCnt="0"/>
      <dgm:spPr/>
    </dgm:pt>
    <dgm:pt modelId="{0E819307-1B4E-434E-BA76-D5A4192B0663}" type="pres">
      <dgm:prSet presAssocID="{47C757F0-AA23-46BE-9311-EA432CDEEAA1}" presName="hierChild3" presStyleCnt="0"/>
      <dgm:spPr/>
    </dgm:pt>
    <dgm:pt modelId="{7CC60CE2-51D0-47DE-A469-FE4884597341}" type="pres">
      <dgm:prSet presAssocID="{4294CB15-5EAF-442A-BADC-24588A60ECFF}" presName="Name111" presStyleLbl="parChTrans1D2" presStyleIdx="3" presStyleCnt="4"/>
      <dgm:spPr/>
    </dgm:pt>
    <dgm:pt modelId="{2C28615C-654F-4C05-9383-C72EAED46321}" type="pres">
      <dgm:prSet presAssocID="{B29BF47F-FB6F-4BB3-8B1F-25C507DDACF5}" presName="hierRoot3" presStyleCnt="0">
        <dgm:presLayoutVars>
          <dgm:hierBranch val="init"/>
        </dgm:presLayoutVars>
      </dgm:prSet>
      <dgm:spPr/>
    </dgm:pt>
    <dgm:pt modelId="{531B400A-09FB-4AC6-91D5-6C58DB555D6A}" type="pres">
      <dgm:prSet presAssocID="{B29BF47F-FB6F-4BB3-8B1F-25C507DDACF5}" presName="rootComposite3" presStyleCnt="0"/>
      <dgm:spPr/>
    </dgm:pt>
    <dgm:pt modelId="{15F46F7C-8483-49B2-9069-BD47518FA3C5}" type="pres">
      <dgm:prSet presAssocID="{B29BF47F-FB6F-4BB3-8B1F-25C507DDACF5}" presName="rootText3" presStyleLbl="asst1" presStyleIdx="0" presStyleCnt="1" custScaleX="141112" custLinFactX="100000" custLinFactNeighborX="109291" custLinFactNeighborY="2200">
        <dgm:presLayoutVars>
          <dgm:chPref val="3"/>
        </dgm:presLayoutVars>
      </dgm:prSet>
      <dgm:spPr/>
    </dgm:pt>
    <dgm:pt modelId="{84CA6990-2D5D-47C3-9020-DF2944DEADCF}" type="pres">
      <dgm:prSet presAssocID="{B29BF47F-FB6F-4BB3-8B1F-25C507DDACF5}" presName="rootConnector3" presStyleCnt="0"/>
      <dgm:spPr/>
    </dgm:pt>
    <dgm:pt modelId="{0851F80F-8C6D-4400-A85F-BC390C21E4EE}" type="pres">
      <dgm:prSet presAssocID="{B29BF47F-FB6F-4BB3-8B1F-25C507DDACF5}" presName="hierChild6" presStyleCnt="0"/>
      <dgm:spPr/>
    </dgm:pt>
    <dgm:pt modelId="{3025C0A7-DA6F-4394-8167-7956EFF162F0}" type="pres">
      <dgm:prSet presAssocID="{B29BF47F-FB6F-4BB3-8B1F-25C507DDACF5}" presName="hierChild7" presStyleCnt="0"/>
      <dgm:spPr/>
    </dgm:pt>
  </dgm:ptLst>
  <dgm:cxnLst>
    <dgm:cxn modelId="{B07009A3-99D4-414C-9CA0-F4B447474578}" srcId="{A77D31B3-3808-4FBA-8FA4-CC8D448A173E}" destId="{47C757F0-AA23-46BE-9311-EA432CDEEAA1}" srcOrd="0" destOrd="0" parTransId="{AB39B06D-FE6C-48B2-B5B4-77CD0C8CF7AD}" sibTransId="{DF0D1C21-B79E-4875-B7FA-EF183CB48B88}"/>
    <dgm:cxn modelId="{80CCA0A4-B588-40A5-945C-E53CF560FFFD}" srcId="{47C757F0-AA23-46BE-9311-EA432CDEEAA1}" destId="{B29BF47F-FB6F-4BB3-8B1F-25C507DDACF5}" srcOrd="0" destOrd="0" parTransId="{4294CB15-5EAF-442A-BADC-24588A60ECFF}" sibTransId="{4FBEC948-3FA9-4375-B83A-B44348E5F34D}"/>
    <dgm:cxn modelId="{EEF4ACB4-9956-469D-B4EC-79B8A4D1C8BC}" srcId="{47C757F0-AA23-46BE-9311-EA432CDEEAA1}" destId="{12714FC6-8B41-47E5-91DD-F02D34D23B93}" srcOrd="1" destOrd="0" parTransId="{EACD17F5-D793-4A43-B489-D1804D50CFEF}" sibTransId="{FA45D93F-0724-4936-AA45-E6762732A19D}"/>
    <dgm:cxn modelId="{64BE7DCE-E7C3-465D-A726-D313D514ECD3}" srcId="{47C757F0-AA23-46BE-9311-EA432CDEEAA1}" destId="{4EC42421-831D-4CD3-8215-2AF4300F9C01}" srcOrd="2" destOrd="0" parTransId="{8D5FB264-0A5C-4C3A-85B7-453D9BD837DF}" sibTransId="{A1825131-D805-48C8-BFCE-E45C02E6F5CE}"/>
    <dgm:cxn modelId="{991B3956-C24E-4951-8C24-90C30D087F60}" srcId="{47C757F0-AA23-46BE-9311-EA432CDEEAA1}" destId="{CF717C8A-B40B-4AFF-BF49-65ABB7DF8190}" srcOrd="3" destOrd="0" parTransId="{CCF68ADE-40B6-47D0-93C1-88EC13ADC8AC}" sibTransId="{630D3E0B-D1D7-4E1A-8193-515AA5E1866F}"/>
    <dgm:cxn modelId="{55BFEBDC-BF3C-40CE-99C6-52AE5ADE1246}" type="presOf" srcId="{A77D31B3-3808-4FBA-8FA4-CC8D448A173E}" destId="{E498DC9C-C5AC-4482-A26F-3B99DC5D79F0}" srcOrd="0" destOrd="0" presId="urn:microsoft.com/office/officeart/2005/8/layout/orgChart1"/>
    <dgm:cxn modelId="{53D63828-E4E6-47D0-918D-9B21093FE7A4}" type="presParOf" srcId="{E498DC9C-C5AC-4482-A26F-3B99DC5D79F0}" destId="{F728C3E8-5128-4BB6-90CC-A86769ECE335}" srcOrd="0" destOrd="0" presId="urn:microsoft.com/office/officeart/2005/8/layout/orgChart1"/>
    <dgm:cxn modelId="{6B347C0C-A481-45D9-9CA2-6AACB48612DA}" type="presParOf" srcId="{F728C3E8-5128-4BB6-90CC-A86769ECE335}" destId="{79147750-B6BF-43FD-83A0-7ACDC9B53EFF}" srcOrd="0" destOrd="0" presId="urn:microsoft.com/office/officeart/2005/8/layout/orgChart1"/>
    <dgm:cxn modelId="{697D2772-BE5D-4A33-A5D0-7150B64BF5B9}" type="presOf" srcId="{47C757F0-AA23-46BE-9311-EA432CDEEAA1}" destId="{79147750-B6BF-43FD-83A0-7ACDC9B53EFF}" srcOrd="0" destOrd="0" presId="urn:microsoft.com/office/officeart/2005/8/layout/orgChart1"/>
    <dgm:cxn modelId="{A820E427-B7BB-4F62-9743-33C54104AC06}" type="presParOf" srcId="{79147750-B6BF-43FD-83A0-7ACDC9B53EFF}" destId="{AE79172D-D441-42BB-84EA-E3D989670DED}" srcOrd="0" destOrd="0" presId="urn:microsoft.com/office/officeart/2005/8/layout/orgChart1"/>
    <dgm:cxn modelId="{93CF6859-9B4A-46FE-A73A-EF05A39CA5B6}" type="presOf" srcId="{47C757F0-AA23-46BE-9311-EA432CDEEAA1}" destId="{AE79172D-D441-42BB-84EA-E3D989670DED}" srcOrd="0" destOrd="0" presId="urn:microsoft.com/office/officeart/2005/8/layout/orgChart1"/>
    <dgm:cxn modelId="{F4D5BACA-B823-4FC0-8BDE-39F517ED81B4}" type="presParOf" srcId="{79147750-B6BF-43FD-83A0-7ACDC9B53EFF}" destId="{86420519-308D-4A6A-8FEA-6FB2E39BA448}" srcOrd="1" destOrd="0" presId="urn:microsoft.com/office/officeart/2005/8/layout/orgChart1"/>
    <dgm:cxn modelId="{557EDB81-BCB3-486B-A55A-F82EE751AE2E}" type="presOf" srcId="{47C757F0-AA23-46BE-9311-EA432CDEEAA1}" destId="{86420519-308D-4A6A-8FEA-6FB2E39BA448}" srcOrd="0" destOrd="0" presId="urn:microsoft.com/office/officeart/2005/8/layout/orgChart1"/>
    <dgm:cxn modelId="{BF727917-859D-4334-8C32-4E44F091EC53}" type="presParOf" srcId="{F728C3E8-5128-4BB6-90CC-A86769ECE335}" destId="{9A0FF10C-81C7-47CD-A320-768F2009480B}" srcOrd="1" destOrd="0" presId="urn:microsoft.com/office/officeart/2005/8/layout/orgChart1"/>
    <dgm:cxn modelId="{CE2728A6-9F7F-4B1B-9AAE-C84BE4A9A7D9}" type="presParOf" srcId="{9A0FF10C-81C7-47CD-A320-768F2009480B}" destId="{6A259130-4455-44E0-969B-948D1249687E}" srcOrd="0" destOrd="1" presId="urn:microsoft.com/office/officeart/2005/8/layout/orgChart1"/>
    <dgm:cxn modelId="{C7EEDF88-50CD-4F44-B8BE-6A4331E69EF5}" type="presOf" srcId="{EACD17F5-D793-4A43-B489-D1804D50CFEF}" destId="{6A259130-4455-44E0-969B-948D1249687E}" srcOrd="0" destOrd="0" presId="urn:microsoft.com/office/officeart/2005/8/layout/orgChart1"/>
    <dgm:cxn modelId="{55C42827-B118-4560-960F-67840CD9A96F}" type="presParOf" srcId="{9A0FF10C-81C7-47CD-A320-768F2009480B}" destId="{D6C5C065-A308-417C-8ECC-04FC2BEC646C}" srcOrd="1" destOrd="1" presId="urn:microsoft.com/office/officeart/2005/8/layout/orgChart1"/>
    <dgm:cxn modelId="{93B73FF3-B1B8-45D7-874B-9DBBAE1193F0}" type="presParOf" srcId="{D6C5C065-A308-417C-8ECC-04FC2BEC646C}" destId="{E36491EF-5019-46FD-BC82-1BD579B9EE0E}" srcOrd="0" destOrd="1" presId="urn:microsoft.com/office/officeart/2005/8/layout/orgChart1"/>
    <dgm:cxn modelId="{C2C98AF9-C1DA-4736-BEE1-30274128EE0F}" type="presOf" srcId="{12714FC6-8B41-47E5-91DD-F02D34D23B93}" destId="{E36491EF-5019-46FD-BC82-1BD579B9EE0E}" srcOrd="0" destOrd="0" presId="urn:microsoft.com/office/officeart/2005/8/layout/orgChart1"/>
    <dgm:cxn modelId="{E34FA94F-95B7-40F6-A812-CE64078905CF}" type="presParOf" srcId="{E36491EF-5019-46FD-BC82-1BD579B9EE0E}" destId="{43B7C837-49D6-40CE-BBAB-953D9E4BA7ED}" srcOrd="0" destOrd="0" presId="urn:microsoft.com/office/officeart/2005/8/layout/orgChart1"/>
    <dgm:cxn modelId="{00404093-0AF1-4FA5-B937-81B6CF76722D}" type="presOf" srcId="{12714FC6-8B41-47E5-91DD-F02D34D23B93}" destId="{43B7C837-49D6-40CE-BBAB-953D9E4BA7ED}" srcOrd="0" destOrd="0" presId="urn:microsoft.com/office/officeart/2005/8/layout/orgChart1"/>
    <dgm:cxn modelId="{42F38AB7-8123-4138-924F-1C6E156714F0}" type="presParOf" srcId="{E36491EF-5019-46FD-BC82-1BD579B9EE0E}" destId="{9A037140-9B69-4B9F-A134-F2F2EB0F2E32}" srcOrd="1" destOrd="0" presId="urn:microsoft.com/office/officeart/2005/8/layout/orgChart1"/>
    <dgm:cxn modelId="{218EDB92-5F58-4409-B1B6-C6280C90FD09}" type="presOf" srcId="{12714FC6-8B41-47E5-91DD-F02D34D23B93}" destId="{9A037140-9B69-4B9F-A134-F2F2EB0F2E32}" srcOrd="0" destOrd="0" presId="urn:microsoft.com/office/officeart/2005/8/layout/orgChart1"/>
    <dgm:cxn modelId="{13F91E5D-27B8-4BB4-B30A-199B37878A18}" type="presParOf" srcId="{D6C5C065-A308-417C-8ECC-04FC2BEC646C}" destId="{FA37AA5D-87C2-47F6-9B72-B753C073E744}" srcOrd="1" destOrd="1" presId="urn:microsoft.com/office/officeart/2005/8/layout/orgChart1"/>
    <dgm:cxn modelId="{9452F87D-6DD7-4695-8EF6-5D3E2A249002}" type="presParOf" srcId="{D6C5C065-A308-417C-8ECC-04FC2BEC646C}" destId="{A7309641-2A58-41EA-9E42-56812CF298ED}" srcOrd="2" destOrd="1" presId="urn:microsoft.com/office/officeart/2005/8/layout/orgChart1"/>
    <dgm:cxn modelId="{C07F9051-A97F-4396-A417-08343DCE4022}" type="presParOf" srcId="{9A0FF10C-81C7-47CD-A320-768F2009480B}" destId="{F492B679-3C8C-4E72-95A8-8B81298826E7}" srcOrd="2" destOrd="1" presId="urn:microsoft.com/office/officeart/2005/8/layout/orgChart1"/>
    <dgm:cxn modelId="{8F272CD1-B7BD-4FA6-A5CC-0844539795FC}" type="presOf" srcId="{8D5FB264-0A5C-4C3A-85B7-453D9BD837DF}" destId="{F492B679-3C8C-4E72-95A8-8B81298826E7}" srcOrd="0" destOrd="0" presId="urn:microsoft.com/office/officeart/2005/8/layout/orgChart1"/>
    <dgm:cxn modelId="{05F86ED6-8905-47F0-8FCA-D7E997C787DE}" type="presParOf" srcId="{9A0FF10C-81C7-47CD-A320-768F2009480B}" destId="{C6F584B9-7EA2-46D8-913B-8F508509ECAB}" srcOrd="3" destOrd="1" presId="urn:microsoft.com/office/officeart/2005/8/layout/orgChart1"/>
    <dgm:cxn modelId="{8B8D4EE2-21B6-45EE-BED1-8832D30184A6}" type="presParOf" srcId="{C6F584B9-7EA2-46D8-913B-8F508509ECAB}" destId="{6CAD9CE6-86A1-4F7D-98A6-3AF53F55F9E3}" srcOrd="0" destOrd="3" presId="urn:microsoft.com/office/officeart/2005/8/layout/orgChart1"/>
    <dgm:cxn modelId="{8E37BA5A-AA97-4B7D-85B9-AEE2CC152257}" type="presOf" srcId="{4EC42421-831D-4CD3-8215-2AF4300F9C01}" destId="{6CAD9CE6-86A1-4F7D-98A6-3AF53F55F9E3}" srcOrd="0" destOrd="0" presId="urn:microsoft.com/office/officeart/2005/8/layout/orgChart1"/>
    <dgm:cxn modelId="{59BF6DEC-D85C-4807-AB24-094F04F1C15D}" type="presParOf" srcId="{6CAD9CE6-86A1-4F7D-98A6-3AF53F55F9E3}" destId="{08A0D1D2-3A20-4D63-8E35-B7C8B6B16D48}" srcOrd="0" destOrd="0" presId="urn:microsoft.com/office/officeart/2005/8/layout/orgChart1"/>
    <dgm:cxn modelId="{5CFBD7BD-FA75-4D64-AAF2-0B26451C1406}" type="presOf" srcId="{4EC42421-831D-4CD3-8215-2AF4300F9C01}" destId="{08A0D1D2-3A20-4D63-8E35-B7C8B6B16D48}" srcOrd="0" destOrd="0" presId="urn:microsoft.com/office/officeart/2005/8/layout/orgChart1"/>
    <dgm:cxn modelId="{98B8B298-E1C2-4A6D-9909-9EA34E212210}" type="presParOf" srcId="{6CAD9CE6-86A1-4F7D-98A6-3AF53F55F9E3}" destId="{6238C53E-A961-488B-8FBD-6EC13507B069}" srcOrd="1" destOrd="0" presId="urn:microsoft.com/office/officeart/2005/8/layout/orgChart1"/>
    <dgm:cxn modelId="{A1543745-1178-4828-9335-11D956112F58}" type="presOf" srcId="{4EC42421-831D-4CD3-8215-2AF4300F9C01}" destId="{6238C53E-A961-488B-8FBD-6EC13507B069}" srcOrd="0" destOrd="0" presId="urn:microsoft.com/office/officeart/2005/8/layout/orgChart1"/>
    <dgm:cxn modelId="{50B55D45-47C8-4BFC-8201-9206BAEE95D2}" type="presParOf" srcId="{C6F584B9-7EA2-46D8-913B-8F508509ECAB}" destId="{A9C46FD3-3BE9-4E6E-BFF6-B0B42B13F857}" srcOrd="1" destOrd="3" presId="urn:microsoft.com/office/officeart/2005/8/layout/orgChart1"/>
    <dgm:cxn modelId="{B84F693B-BC3D-40B0-AB8D-12709C4D3E1B}" type="presParOf" srcId="{C6F584B9-7EA2-46D8-913B-8F508509ECAB}" destId="{A663BBFB-A120-4F5B-82EC-DB644DB9966B}" srcOrd="2" destOrd="3" presId="urn:microsoft.com/office/officeart/2005/8/layout/orgChart1"/>
    <dgm:cxn modelId="{75E22023-2643-4471-85A2-0A8400D2BA50}" type="presParOf" srcId="{9A0FF10C-81C7-47CD-A320-768F2009480B}" destId="{AB3A8128-6C86-49B7-B5CC-0153888815E5}" srcOrd="4" destOrd="1" presId="urn:microsoft.com/office/officeart/2005/8/layout/orgChart1"/>
    <dgm:cxn modelId="{2D1C7132-0A46-43E9-9F6A-41DE49AEF34F}" type="presOf" srcId="{CCF68ADE-40B6-47D0-93C1-88EC13ADC8AC}" destId="{AB3A8128-6C86-49B7-B5CC-0153888815E5}" srcOrd="0" destOrd="0" presId="urn:microsoft.com/office/officeart/2005/8/layout/orgChart1"/>
    <dgm:cxn modelId="{7001558D-E4BB-4EE5-AB99-783890ABBE48}" type="presParOf" srcId="{9A0FF10C-81C7-47CD-A320-768F2009480B}" destId="{1A917F9A-DDE6-4568-B35C-7FABCEF0A586}" srcOrd="5" destOrd="1" presId="urn:microsoft.com/office/officeart/2005/8/layout/orgChart1"/>
    <dgm:cxn modelId="{918267D2-827B-4375-B5A2-6109CE777079}" type="presParOf" srcId="{1A917F9A-DDE6-4568-B35C-7FABCEF0A586}" destId="{FA949B67-3DB7-47FA-97C9-4A653E762F22}" srcOrd="0" destOrd="5" presId="urn:microsoft.com/office/officeart/2005/8/layout/orgChart1"/>
    <dgm:cxn modelId="{88174CEA-5A0E-443E-ACF1-4A4D87ED11F2}" type="presOf" srcId="{CF717C8A-B40B-4AFF-BF49-65ABB7DF8190}" destId="{FA949B67-3DB7-47FA-97C9-4A653E762F22}" srcOrd="0" destOrd="0" presId="urn:microsoft.com/office/officeart/2005/8/layout/orgChart1"/>
    <dgm:cxn modelId="{F504F4D7-DB64-4302-908E-D378BE6D92EF}" type="presParOf" srcId="{FA949B67-3DB7-47FA-97C9-4A653E762F22}" destId="{7D64F4A3-0E55-47AC-A59B-9D5A9DC25552}" srcOrd="0" destOrd="0" presId="urn:microsoft.com/office/officeart/2005/8/layout/orgChart1"/>
    <dgm:cxn modelId="{56FA48CE-2A93-4546-8E54-03A9894D6669}" type="presOf" srcId="{CF717C8A-B40B-4AFF-BF49-65ABB7DF8190}" destId="{7D64F4A3-0E55-47AC-A59B-9D5A9DC25552}" srcOrd="0" destOrd="0" presId="urn:microsoft.com/office/officeart/2005/8/layout/orgChart1"/>
    <dgm:cxn modelId="{8CC06EDE-6791-48C3-96F1-A9F4E9B1903C}" type="presParOf" srcId="{FA949B67-3DB7-47FA-97C9-4A653E762F22}" destId="{5667CB49-EC34-46BC-AD2D-72F3BD95D049}" srcOrd="1" destOrd="0" presId="urn:microsoft.com/office/officeart/2005/8/layout/orgChart1"/>
    <dgm:cxn modelId="{D23F2DF6-FDA0-4E96-97C1-AF6DAA04306C}" type="presOf" srcId="{CF717C8A-B40B-4AFF-BF49-65ABB7DF8190}" destId="{5667CB49-EC34-46BC-AD2D-72F3BD95D049}" srcOrd="0" destOrd="0" presId="urn:microsoft.com/office/officeart/2005/8/layout/orgChart1"/>
    <dgm:cxn modelId="{ADADAA61-81D7-408C-85A0-99D6BDC031AB}" type="presParOf" srcId="{1A917F9A-DDE6-4568-B35C-7FABCEF0A586}" destId="{EB3A10DA-2FA4-4DAD-8341-8078D7F83716}" srcOrd="1" destOrd="5" presId="urn:microsoft.com/office/officeart/2005/8/layout/orgChart1"/>
    <dgm:cxn modelId="{58295848-CCDF-4FFD-B282-3671C9380101}" type="presParOf" srcId="{1A917F9A-DDE6-4568-B35C-7FABCEF0A586}" destId="{B05C5608-85C8-433E-A928-1755312B673B}" srcOrd="2" destOrd="5" presId="urn:microsoft.com/office/officeart/2005/8/layout/orgChart1"/>
    <dgm:cxn modelId="{8D2AB201-2945-4673-9B2F-BB4C2F0BCD96}" type="presParOf" srcId="{F728C3E8-5128-4BB6-90CC-A86769ECE335}" destId="{0E819307-1B4E-434E-BA76-D5A4192B0663}" srcOrd="2" destOrd="0" presId="urn:microsoft.com/office/officeart/2005/8/layout/orgChart1"/>
    <dgm:cxn modelId="{F8B84B75-7FD0-4592-89EC-DCF410697114}" type="presParOf" srcId="{0E819307-1B4E-434E-BA76-D5A4192B0663}" destId="{7CC60CE2-51D0-47DE-A469-FE4884597341}" srcOrd="0" destOrd="2" presId="urn:microsoft.com/office/officeart/2005/8/layout/orgChart1"/>
    <dgm:cxn modelId="{07F29DCA-E8DA-4570-A62A-C3E41DA0D579}" type="presOf" srcId="{4294CB15-5EAF-442A-BADC-24588A60ECFF}" destId="{7CC60CE2-51D0-47DE-A469-FE4884597341}" srcOrd="0" destOrd="0" presId="urn:microsoft.com/office/officeart/2005/8/layout/orgChart1"/>
    <dgm:cxn modelId="{F8C2F220-5FE7-4967-97C0-F011A55CDF4B}" type="presParOf" srcId="{0E819307-1B4E-434E-BA76-D5A4192B0663}" destId="{2C28615C-654F-4C05-9383-C72EAED46321}" srcOrd="1" destOrd="2" presId="urn:microsoft.com/office/officeart/2005/8/layout/orgChart1"/>
    <dgm:cxn modelId="{60DB801F-7B38-4388-B72F-9B3736D73BA3}" type="presParOf" srcId="{2C28615C-654F-4C05-9383-C72EAED46321}" destId="{531B400A-09FB-4AC6-91D5-6C58DB555D6A}" srcOrd="0" destOrd="1" presId="urn:microsoft.com/office/officeart/2005/8/layout/orgChart1"/>
    <dgm:cxn modelId="{7ED79379-6125-4872-AC2C-614AEA0703FA}" type="presOf" srcId="{B29BF47F-FB6F-4BB3-8B1F-25C507DDACF5}" destId="{531B400A-09FB-4AC6-91D5-6C58DB555D6A}" srcOrd="0" destOrd="0" presId="urn:microsoft.com/office/officeart/2005/8/layout/orgChart1"/>
    <dgm:cxn modelId="{73263343-2F24-4856-8036-FD19B4C68E4B}" type="presParOf" srcId="{531B400A-09FB-4AC6-91D5-6C58DB555D6A}" destId="{15F46F7C-8483-49B2-9069-BD47518FA3C5}" srcOrd="0" destOrd="0" presId="urn:microsoft.com/office/officeart/2005/8/layout/orgChart1"/>
    <dgm:cxn modelId="{D9FB1599-D0E2-4021-9346-841247A5DF00}" type="presOf" srcId="{B29BF47F-FB6F-4BB3-8B1F-25C507DDACF5}" destId="{15F46F7C-8483-49B2-9069-BD47518FA3C5}" srcOrd="0" destOrd="0" presId="urn:microsoft.com/office/officeart/2005/8/layout/orgChart1"/>
    <dgm:cxn modelId="{842F49DE-BF76-4BC9-AA4C-6CB9379E7968}" type="presParOf" srcId="{531B400A-09FB-4AC6-91D5-6C58DB555D6A}" destId="{84CA6990-2D5D-47C3-9020-DF2944DEADCF}" srcOrd="1" destOrd="0" presId="urn:microsoft.com/office/officeart/2005/8/layout/orgChart1"/>
    <dgm:cxn modelId="{07D046E6-9F1F-4651-883A-7A2C929BBEE9}" type="presOf" srcId="{B29BF47F-FB6F-4BB3-8B1F-25C507DDACF5}" destId="{84CA6990-2D5D-47C3-9020-DF2944DEADCF}" srcOrd="0" destOrd="0" presId="urn:microsoft.com/office/officeart/2005/8/layout/orgChart1"/>
    <dgm:cxn modelId="{AB762176-430D-4E1C-9E64-3C7C9A86B8CB}" type="presParOf" srcId="{2C28615C-654F-4C05-9383-C72EAED46321}" destId="{0851F80F-8C6D-4400-A85F-BC390C21E4EE}" srcOrd="1" destOrd="1" presId="urn:microsoft.com/office/officeart/2005/8/layout/orgChart1"/>
    <dgm:cxn modelId="{B6F14657-7124-4BA9-88BD-6D8F333B2319}" type="presParOf" srcId="{2C28615C-654F-4C05-9383-C72EAED46321}" destId="{3025C0A7-DA6F-4394-8167-7956EFF162F0}" srcOrd="2" destOrd="1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Группа 1"/>
      <dsp:cNvGrpSpPr/>
    </dsp:nvGrpSpPr>
    <dsp:grpSpPr>
      <a:xfrm>
        <a:off x="0" y="0"/>
        <a:ext cx="5536565" cy="2795270"/>
        <a:chOff x="0" y="0"/>
        <a:chExt cx="5536565" cy="2795270"/>
      </a:xfrm>
    </dsp:grpSpPr>
    <dsp:sp modelId="{6A259130-4455-44E0-969B-948D1249687E}">
      <dsp:nvSpPr>
        <dsp:cNvPr id="5" name="Полилиния 4"/>
        <dsp:cNvSpPr/>
      </dsp:nvSpPr>
      <dsp:spPr bwMode="white">
        <a:xfrm>
          <a:off x="861093" y="893771"/>
          <a:ext cx="1907190" cy="350719"/>
        </a:xfrm>
        <a:custGeom>
          <a:avLst/>
          <a:gdLst/>
          <a:ahLst/>
          <a:cxnLst/>
          <a:pathLst>
            <a:path w="3003" h="552">
              <a:moveTo>
                <a:pt x="3003" y="0"/>
              </a:moveTo>
              <a:lnTo>
                <a:pt x="3003" y="331"/>
              </a:lnTo>
              <a:lnTo>
                <a:pt x="0" y="331"/>
              </a:lnTo>
              <a:lnTo>
                <a:pt x="0" y="552"/>
              </a:lnTo>
            </a:path>
          </a:pathLst>
        </a:custGeom>
      </dsp:spPr>
      <dsp:style>
        <a:lnRef idx="2">
          <a:schemeClr val="dk2">
            <a:shade val="60000"/>
          </a:schemeClr>
        </a:lnRef>
        <a:fillRef idx="0">
          <a:schemeClr val="dk2"/>
        </a:fillRef>
        <a:effectRef idx="0">
          <a:scrgbClr r="0" g="0" b="0"/>
        </a:effectRef>
        <a:fontRef idx="minor"/>
      </dsp:style>
      <dsp:txXfrm>
        <a:off x="861093" y="893771"/>
        <a:ext cx="1907190" cy="350719"/>
      </dsp:txXfrm>
    </dsp:sp>
    <dsp:sp modelId="{F492B679-3C8C-4E72-95A8-8B81298826E7}">
      <dsp:nvSpPr>
        <dsp:cNvPr id="8" name="Полилиния 7"/>
        <dsp:cNvSpPr/>
      </dsp:nvSpPr>
      <dsp:spPr bwMode="white">
        <a:xfrm>
          <a:off x="1878622" y="893771"/>
          <a:ext cx="889660" cy="1195079"/>
        </a:xfrm>
        <a:custGeom>
          <a:avLst/>
          <a:gdLst/>
          <a:ahLst/>
          <a:cxnLst/>
          <a:pathLst>
            <a:path w="1401" h="1882">
              <a:moveTo>
                <a:pt x="1401" y="0"/>
              </a:moveTo>
              <a:lnTo>
                <a:pt x="1401" y="1661"/>
              </a:lnTo>
              <a:lnTo>
                <a:pt x="0" y="1661"/>
              </a:lnTo>
              <a:lnTo>
                <a:pt x="0" y="1882"/>
              </a:lnTo>
            </a:path>
          </a:pathLst>
        </a:custGeom>
      </dsp:spPr>
      <dsp:style>
        <a:lnRef idx="2">
          <a:schemeClr val="dk2">
            <a:shade val="60000"/>
          </a:schemeClr>
        </a:lnRef>
        <a:fillRef idx="0">
          <a:schemeClr val="dk2"/>
        </a:fillRef>
        <a:effectRef idx="0">
          <a:scrgbClr r="0" g="0" b="0"/>
        </a:effectRef>
        <a:fontRef idx="minor"/>
      </dsp:style>
      <dsp:txXfrm>
        <a:off x="1878622" y="893771"/>
        <a:ext cx="889660" cy="1195079"/>
      </dsp:txXfrm>
    </dsp:sp>
    <dsp:sp modelId="{AB3A8128-6C86-49B7-B5CC-0153888815E5}">
      <dsp:nvSpPr>
        <dsp:cNvPr id="11" name="Полилиния 10"/>
        <dsp:cNvSpPr/>
      </dsp:nvSpPr>
      <dsp:spPr bwMode="white">
        <a:xfrm>
          <a:off x="2768283" y="893771"/>
          <a:ext cx="1380595" cy="1195072"/>
        </a:xfrm>
        <a:custGeom>
          <a:avLst/>
          <a:gdLst/>
          <a:ahLst/>
          <a:cxnLst/>
          <a:pathLst>
            <a:path w="2174" h="1882">
              <a:moveTo>
                <a:pt x="0" y="0"/>
              </a:moveTo>
              <a:lnTo>
                <a:pt x="0" y="1661"/>
              </a:lnTo>
              <a:lnTo>
                <a:pt x="2174" y="1661"/>
              </a:lnTo>
              <a:lnTo>
                <a:pt x="2174" y="1882"/>
              </a:lnTo>
            </a:path>
          </a:pathLst>
        </a:custGeom>
      </dsp:spPr>
      <dsp:style>
        <a:lnRef idx="2">
          <a:schemeClr val="dk2">
            <a:shade val="60000"/>
          </a:schemeClr>
        </a:lnRef>
        <a:fillRef idx="0">
          <a:schemeClr val="dk2"/>
        </a:fillRef>
        <a:effectRef idx="0">
          <a:scrgbClr r="0" g="0" b="0"/>
        </a:effectRef>
        <a:fontRef idx="minor"/>
      </dsp:style>
      <dsp:txXfrm>
        <a:off x="2768283" y="893771"/>
        <a:ext cx="1380595" cy="1195072"/>
      </dsp:txXfrm>
    </dsp:sp>
    <dsp:sp modelId="{7CC60CE2-51D0-47DE-A469-FE4884597341}">
      <dsp:nvSpPr>
        <dsp:cNvPr id="14" name="Полилиния 13"/>
        <dsp:cNvSpPr/>
      </dsp:nvSpPr>
      <dsp:spPr bwMode="white">
        <a:xfrm>
          <a:off x="2768283" y="893771"/>
          <a:ext cx="772370" cy="630708"/>
        </a:xfrm>
        <a:custGeom>
          <a:avLst/>
          <a:gdLst/>
          <a:ahLst/>
          <a:cxnLst/>
          <a:pathLst>
            <a:path w="1216" h="993">
              <a:moveTo>
                <a:pt x="0" y="0"/>
              </a:moveTo>
              <a:lnTo>
                <a:pt x="0" y="993"/>
              </a:lnTo>
              <a:lnTo>
                <a:pt x="1216" y="993"/>
              </a:lnTo>
            </a:path>
          </a:pathLst>
        </a:custGeom>
      </dsp:spPr>
      <dsp:style>
        <a:lnRef idx="2">
          <a:schemeClr val="dk2">
            <a:shade val="60000"/>
          </a:schemeClr>
        </a:lnRef>
        <a:fillRef idx="0">
          <a:schemeClr val="dk2"/>
        </a:fillRef>
        <a:effectRef idx="0">
          <a:scrgbClr r="0" g="0" b="0"/>
        </a:effectRef>
        <a:fontRef idx="minor"/>
      </dsp:style>
      <dsp:txXfrm>
        <a:off x="2768283" y="893771"/>
        <a:ext cx="772370" cy="630708"/>
      </dsp:txXfrm>
    </dsp:sp>
    <dsp:sp modelId="{AE79172D-D441-42BB-84EA-E3D989670DED}">
      <dsp:nvSpPr>
        <dsp:cNvPr id="3" name="Прямоугольник 2"/>
        <dsp:cNvSpPr/>
      </dsp:nvSpPr>
      <dsp:spPr bwMode="white">
        <a:xfrm>
          <a:off x="1351271" y="0"/>
          <a:ext cx="2834023" cy="893771"/>
        </a:xfrm>
        <a:prstGeom prst="rect">
          <a:avLst/>
        </a:prstGeom>
      </dsp:spPr>
      <dsp:style>
        <a:lnRef idx="2">
          <a:schemeClr val="lt2"/>
        </a:lnRef>
        <a:fillRef idx="1">
          <a:schemeClr val="dk2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8890" tIns="8890" rIns="8890" bIns="8890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ru-RU" sz="1400"/>
            <a:t> </a:t>
          </a:r>
          <a:r>
            <a:rPr lang="ru-RU" altLang="en-US" sz="1400"/>
            <a:t>М</a:t>
          </a:r>
          <a:r>
            <a:rPr lang="ru-RU" altLang="en-US" sz="1400"/>
            <a:t>етодические приемы по формированию</a:t>
          </a:r>
          <a:r>
            <a:rPr lang="en-US" altLang="ru-RU" sz="1400"/>
            <a:t> </a:t>
          </a:r>
          <a:r>
            <a:rPr lang="en-US" altLang="en-US" sz="1400"/>
            <a:t>УУД</a:t>
          </a:r>
          <a:endParaRPr lang="en-US" altLang="en-US" sz="1400"/>
        </a:p>
      </dsp:txBody>
      <dsp:txXfrm>
        <a:off x="1351271" y="0"/>
        <a:ext cx="2834023" cy="893771"/>
      </dsp:txXfrm>
    </dsp:sp>
    <dsp:sp modelId="{43B7C837-49D6-40CE-BBAB-953D9E4BA7ED}">
      <dsp:nvSpPr>
        <dsp:cNvPr id="6" name="Прямоугольник 5"/>
        <dsp:cNvSpPr/>
      </dsp:nvSpPr>
      <dsp:spPr bwMode="white">
        <a:xfrm>
          <a:off x="38474" y="1244491"/>
          <a:ext cx="1645238" cy="669542"/>
        </a:xfrm>
        <a:prstGeom prst="rect">
          <a:avLst/>
        </a:prstGeom>
      </dsp:spPr>
      <dsp:style>
        <a:lnRef idx="2">
          <a:schemeClr val="lt2"/>
        </a:lnRef>
        <a:fillRef idx="1">
          <a:schemeClr val="dk2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7620" tIns="7620" rIns="7620" bIns="7620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200"/>
            <a:t>Групповая</a:t>
          </a:r>
          <a:r>
            <a:rPr lang="en-US" altLang="ru-RU" sz="1200"/>
            <a:t> </a:t>
          </a:r>
          <a:r>
            <a:rPr lang="en-US" altLang="en-US" sz="1200"/>
            <a:t>работа</a:t>
          </a:r>
          <a:r>
            <a:rPr lang="en-US" altLang="ru-RU" sz="1200"/>
            <a:t> </a:t>
          </a:r>
          <a:r>
            <a:rPr lang="ru-RU" altLang="en-US" sz="1200"/>
            <a:t>как методический прием</a:t>
          </a:r>
          <a:endParaRPr lang="ru-RU" altLang="en-US" sz="1200"/>
        </a:p>
      </dsp:txBody>
      <dsp:txXfrm>
        <a:off x="38474" y="1244491"/>
        <a:ext cx="1645238" cy="669542"/>
      </dsp:txXfrm>
    </dsp:sp>
    <dsp:sp modelId="{08A0D1D2-3A20-4D63-8E35-B7C8B6B16D48}">
      <dsp:nvSpPr>
        <dsp:cNvPr id="9" name="Прямоугольник 8"/>
        <dsp:cNvSpPr/>
      </dsp:nvSpPr>
      <dsp:spPr bwMode="white">
        <a:xfrm>
          <a:off x="1117628" y="2088850"/>
          <a:ext cx="1521989" cy="669542"/>
        </a:xfrm>
        <a:prstGeom prst="rect">
          <a:avLst/>
        </a:prstGeom>
      </dsp:spPr>
      <dsp:style>
        <a:lnRef idx="2">
          <a:schemeClr val="lt2"/>
        </a:lnRef>
        <a:fillRef idx="1">
          <a:schemeClr val="dk2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6350" tIns="6350" rIns="6350" bIns="6350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000"/>
            <a:t>Индивидуальные</a:t>
          </a:r>
          <a:r>
            <a:rPr lang="en-US" altLang="ru-RU" sz="1000"/>
            <a:t> </a:t>
          </a:r>
          <a:r>
            <a:rPr lang="en-US" altLang="en-US" sz="1000"/>
            <a:t>задания</a:t>
          </a:r>
          <a:r>
            <a:rPr lang="en-US" altLang="ru-RU" sz="1000"/>
            <a:t>: </a:t>
          </a:r>
          <a:r>
            <a:rPr lang="en-US" altLang="en-US" sz="1000"/>
            <a:t>развитие</a:t>
          </a:r>
          <a:r>
            <a:rPr lang="en-US" altLang="ru-RU" sz="1000"/>
            <a:t> </a:t>
          </a:r>
          <a:r>
            <a:rPr lang="en-US" altLang="en-US" sz="1000"/>
            <a:t>самостоятельности</a:t>
          </a:r>
          <a:r>
            <a:rPr lang="en-US" altLang="ru-RU" sz="1000"/>
            <a:t> </a:t>
          </a:r>
          <a:r>
            <a:rPr lang="en-US" altLang="en-US" sz="1000"/>
            <a:t>учащихся</a:t>
          </a:r>
          <a:endParaRPr lang="en-US" altLang="en-US" sz="1000"/>
        </a:p>
      </dsp:txBody>
      <dsp:txXfrm>
        <a:off x="1117628" y="2088850"/>
        <a:ext cx="1521989" cy="669542"/>
      </dsp:txXfrm>
    </dsp:sp>
    <dsp:sp modelId="{7D64F4A3-0E55-47AC-A59B-9D5A9DC25552}">
      <dsp:nvSpPr>
        <dsp:cNvPr id="12" name="Прямоугольник 11"/>
        <dsp:cNvSpPr/>
      </dsp:nvSpPr>
      <dsp:spPr bwMode="white">
        <a:xfrm>
          <a:off x="3346800" y="2088843"/>
          <a:ext cx="1604155" cy="669542"/>
        </a:xfrm>
        <a:prstGeom prst="rect">
          <a:avLst/>
        </a:prstGeom>
      </dsp:spPr>
      <dsp:style>
        <a:lnRef idx="2">
          <a:schemeClr val="lt2"/>
        </a:lnRef>
        <a:fillRef idx="1">
          <a:schemeClr val="dk2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6350" tIns="6350" rIns="6350" bIns="6350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000"/>
            <a:t>Использование</a:t>
          </a:r>
          <a:r>
            <a:rPr lang="en-US" altLang="ru-RU" sz="1000"/>
            <a:t> </a:t>
          </a:r>
          <a:r>
            <a:rPr lang="en-US" altLang="en-US" sz="1000"/>
            <a:t>информационно</a:t>
          </a:r>
          <a:r>
            <a:rPr lang="en-US" altLang="ru-RU" sz="1000"/>
            <a:t>-</a:t>
          </a:r>
          <a:r>
            <a:rPr lang="en-US" altLang="en-US" sz="1000"/>
            <a:t>коммуникационных</a:t>
          </a:r>
          <a:r>
            <a:rPr lang="en-US" altLang="ru-RU" sz="1000"/>
            <a:t> </a:t>
          </a:r>
          <a:r>
            <a:rPr lang="en-US" altLang="en-US" sz="1000"/>
            <a:t>технологий</a:t>
          </a:r>
          <a:r>
            <a:rPr lang="en-US" altLang="ru-RU" sz="1000"/>
            <a:t> (</a:t>
          </a:r>
          <a:r>
            <a:rPr lang="en-US" altLang="en-US" sz="1000"/>
            <a:t>ИКТ</a:t>
          </a:r>
          <a:r>
            <a:rPr lang="en-US" altLang="ru-RU" sz="1000"/>
            <a:t>)</a:t>
          </a:r>
          <a:endParaRPr lang="en-US" altLang="ru-RU" sz="1000"/>
        </a:p>
      </dsp:txBody>
      <dsp:txXfrm>
        <a:off x="3346800" y="2088843"/>
        <a:ext cx="1604155" cy="669542"/>
      </dsp:txXfrm>
    </dsp:sp>
    <dsp:sp modelId="{15F46F7C-8483-49B2-9069-BD47518FA3C5}">
      <dsp:nvSpPr>
        <dsp:cNvPr id="15" name="Прямоугольник 14"/>
        <dsp:cNvSpPr/>
      </dsp:nvSpPr>
      <dsp:spPr bwMode="white">
        <a:xfrm>
          <a:off x="3540653" y="1189709"/>
          <a:ext cx="1889608" cy="669542"/>
        </a:xfrm>
        <a:prstGeom prst="rect">
          <a:avLst/>
        </a:prstGeom>
      </dsp:spPr>
      <dsp:style>
        <a:lnRef idx="2">
          <a:schemeClr val="lt2"/>
        </a:lnRef>
        <a:fillRef idx="1">
          <a:schemeClr val="dk2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7620" tIns="7620" rIns="7620" bIns="7620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en-US" altLang="en-US" sz="1200"/>
            <a:t>Проектная</a:t>
          </a:r>
          <a:r>
            <a:rPr lang="en-US" altLang="ru-RU" sz="1200"/>
            <a:t> </a:t>
          </a:r>
          <a:r>
            <a:rPr lang="en-US" altLang="en-US" sz="1200"/>
            <a:t>деятельность</a:t>
          </a:r>
          <a:r>
            <a:rPr lang="en-US" altLang="ru-RU" sz="1200"/>
            <a:t> </a:t>
          </a:r>
          <a:r>
            <a:rPr lang="en-US" altLang="en-US" sz="1200"/>
            <a:t>как</a:t>
          </a:r>
          <a:r>
            <a:rPr lang="en-US" altLang="ru-RU" sz="1200"/>
            <a:t> </a:t>
          </a:r>
          <a:r>
            <a:rPr lang="en-US" altLang="en-US" sz="1200"/>
            <a:t>метод</a:t>
          </a:r>
          <a:r>
            <a:rPr lang="ru-RU" altLang="en-US" sz="1200"/>
            <a:t>ический прием</a:t>
          </a:r>
          <a:endParaRPr lang="ru-RU" altLang="en-US" sz="1200"/>
        </a:p>
      </dsp:txBody>
      <dsp:txXfrm>
        <a:off x="3540653" y="1189709"/>
        <a:ext cx="1889608" cy="669542"/>
      </dsp:txXfrm>
    </dsp:sp>
    <dsp:sp modelId="{86420519-308D-4A6A-8FEA-6FB2E39BA448}">
      <dsp:nvSpPr>
        <dsp:cNvPr id="4" name="Прямоугольник 3" hidden="1"/>
        <dsp:cNvSpPr/>
      </dsp:nvSpPr>
      <dsp:spPr>
        <a:xfrm>
          <a:off x="1351271" y="0"/>
          <a:ext cx="566805" cy="893771"/>
        </a:xfrm>
        <a:prstGeom prst="rect">
          <a:avLst/>
        </a:prstGeom>
      </dsp:spPr>
      <dsp:txXfrm>
        <a:off x="1351271" y="0"/>
        <a:ext cx="566805" cy="893771"/>
      </dsp:txXfrm>
    </dsp:sp>
    <dsp:sp modelId="{9A037140-9B69-4B9F-A134-F2F2EB0F2E32}">
      <dsp:nvSpPr>
        <dsp:cNvPr id="7" name="Прямоугольник 6" hidden="1"/>
        <dsp:cNvSpPr/>
      </dsp:nvSpPr>
      <dsp:spPr>
        <a:xfrm>
          <a:off x="38474" y="1244491"/>
          <a:ext cx="329048" cy="669542"/>
        </a:xfrm>
        <a:prstGeom prst="rect">
          <a:avLst/>
        </a:prstGeom>
      </dsp:spPr>
      <dsp:txXfrm>
        <a:off x="38474" y="1244491"/>
        <a:ext cx="329048" cy="669542"/>
      </dsp:txXfrm>
    </dsp:sp>
    <dsp:sp modelId="{6238C53E-A961-488B-8FBD-6EC13507B069}">
      <dsp:nvSpPr>
        <dsp:cNvPr id="10" name="Прямоугольник 9" hidden="1"/>
        <dsp:cNvSpPr/>
      </dsp:nvSpPr>
      <dsp:spPr>
        <a:xfrm>
          <a:off x="1117628" y="2088850"/>
          <a:ext cx="304398" cy="669542"/>
        </a:xfrm>
        <a:prstGeom prst="rect">
          <a:avLst/>
        </a:prstGeom>
      </dsp:spPr>
      <dsp:txXfrm>
        <a:off x="1117628" y="2088850"/>
        <a:ext cx="304398" cy="669542"/>
      </dsp:txXfrm>
    </dsp:sp>
    <dsp:sp modelId="{5667CB49-EC34-46BC-AD2D-72F3BD95D049}">
      <dsp:nvSpPr>
        <dsp:cNvPr id="13" name="Прямоугольник 12" hidden="1"/>
        <dsp:cNvSpPr/>
      </dsp:nvSpPr>
      <dsp:spPr>
        <a:xfrm>
          <a:off x="3346800" y="2088843"/>
          <a:ext cx="320831" cy="669542"/>
        </a:xfrm>
        <a:prstGeom prst="rect">
          <a:avLst/>
        </a:prstGeom>
      </dsp:spPr>
      <dsp:txXfrm>
        <a:off x="3346800" y="2088843"/>
        <a:ext cx="320831" cy="669542"/>
      </dsp:txXfrm>
    </dsp:sp>
    <dsp:sp modelId="{84CA6990-2D5D-47C3-9020-DF2944DEADCF}">
      <dsp:nvSpPr>
        <dsp:cNvPr id="16" name="Прямоугольник 15" hidden="1"/>
        <dsp:cNvSpPr/>
      </dsp:nvSpPr>
      <dsp:spPr>
        <a:xfrm>
          <a:off x="738071" y="1174979"/>
          <a:ext cx="377922" cy="669542"/>
        </a:xfrm>
        <a:prstGeom prst="rect">
          <a:avLst/>
        </a:prstGeom>
      </dsp:spPr>
      <dsp:txXfrm>
        <a:off x="738071" y="1174979"/>
        <a:ext cx="377922" cy="66954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>
          <dgm:prSet qsTypeId="urn:microsoft.com/office/officeart/2005/8/quickstyle/simple5"/>
        </dgm:pt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>
          <dgm:prSet csTypeId="urn:microsoft.com/office/officeart/2005/8/colors/accent6_5"/>
        </dgm:pt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2025-10-29T18:38:00Z</dcterms:created>
  <dc:creator>User</dc:creator>
  <cp:lastModifiedBy>User</cp:lastModifiedBy>
  <dcterms:modified xsi:type="dcterms:W3CDTF">2025-10-29T18:39:18Z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2FA443A849EB455388863C6BE297429A_11</vt:lpwstr>
  </property>
</Properties>
</file>